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" w:after="80"/>
        <w:jc w:val="left"/>
      </w:pPr>
      <w:r>
        <w:rPr>
          <w:rFonts w:ascii="Aptos Display" w:hAnsi="Aptos Display"/>
          <w:b/>
          <w:color w:val="245EA8"/>
          <w:sz w:val="26"/>
        </w:rPr>
        <w:t>SCREEN LMS</w:t>
      </w:r>
    </w:p>
    <w:p>
      <w:pPr>
        <w:pStyle w:val="Title"/>
        <w:spacing w:after="140"/>
      </w:pPr>
      <w:r>
        <w:t>Biometric and Facial Photo Consent and Privacy Notice</w:t>
      </w:r>
    </w:p>
    <w:p>
      <w:pPr>
        <w:spacing w:after="160"/>
      </w:pPr>
      <w:r>
        <w:rPr>
          <w:color w:val="64748B"/>
          <w:sz w:val="21"/>
        </w:rPr>
        <w:t>Point-of-use notice and explicit consent terms for facial images and identity verification.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FFF5D6"/>
            <w:tcMar>
              <w:top w:w="115" w:type="dxa"/>
              <w:start w:w="160" w:type="dxa"/>
              <w:bottom w:w="115" w:type="dxa"/>
              <w:end w:w="160" w:type="dxa"/>
            </w:tcMar>
          </w:tcPr>
          <w:p>
            <w:pPr>
              <w:pStyle w:val="PolicyNote"/>
              <w:jc w:val="left"/>
            </w:pPr>
            <w:r>
              <w:rPr>
                <w:b/>
              </w:rPr>
              <w:t>LEGAL AND ASSURANCE STATUS: Operational draft for implementation and UAT. It has not been represented as approved by Singapore-qualified counsel, an accredited certification body or an external auditor.</w:t>
            </w:r>
          </w:p>
        </w:tc>
      </w:tr>
    </w:tbl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57"/>
        <w:gridCol w:w="3146"/>
        <w:gridCol w:w="1757"/>
        <w:gridCol w:w="3146"/>
      </w:tblGrid>
      <w:tr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Document code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BIO-001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Version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2.0</w:t>
            </w:r>
          </w:p>
        </w:tc>
      </w:tr>
      <w:tr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Effective date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2026-07-12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Next review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2027-07-12</w:t>
            </w:r>
          </w:p>
        </w:tc>
      </w:tr>
      <w:tr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Owner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Data Chord Pte. Ltd.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Audience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all</w:t>
            </w:r>
          </w:p>
        </w:tc>
      </w:tr>
      <w:tr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Status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Pending review by Singapore-qualified counsel and the appointed DPO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  <w:shd w:fill="EAF2FB"/>
          </w:tcPr>
          <w:p>
            <w:r>
              <w:rPr>
                <w:b/>
                <w:sz w:val="16"/>
              </w:rPr>
              <w:t>Acknowledgement</w:t>
            </w:r>
          </w:p>
        </w:tc>
        <w:tc>
          <w:tcPr>
            <w:tcW w:type="dxa" w:w="2466"/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r>
              <w:rPr>
                <w:sz w:val="16"/>
              </w:rPr>
              <w:t>Notice / point-of-use control</w:t>
            </w:r>
          </w:p>
        </w:tc>
      </w:tr>
    </w:tbl>
    <w:p>
      <w:pPr>
        <w:pStyle w:val="Heading1"/>
      </w:pPr>
      <w:r>
        <w:t>Change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fill="17365D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b/>
                <w:color w:val="FFFFFF"/>
                <w:sz w:val="15"/>
              </w:rPr>
              <w:t>Version / effective date</w:t>
            </w:r>
          </w:p>
        </w:tc>
        <w:tc>
          <w:tcPr>
            <w:tcW w:type="dxa" w:w="2466"/>
            <w:shd w:fill="17365D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b/>
                <w:color w:val="FFFFFF"/>
                <w:sz w:val="15"/>
              </w:rPr>
              <w:t>Change</w:t>
            </w:r>
          </w:p>
        </w:tc>
        <w:tc>
          <w:tcPr>
            <w:tcW w:type="dxa" w:w="2466"/>
            <w:shd w:fill="17365D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b/>
                <w:color w:val="FFFFFF"/>
                <w:sz w:val="15"/>
              </w:rPr>
              <w:t>Owner</w:t>
            </w:r>
          </w:p>
        </w:tc>
        <w:tc>
          <w:tcPr>
            <w:tcW w:type="dxa" w:w="2466"/>
            <w:shd w:fill="17365D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b/>
                <w:color w:val="FFFFFF"/>
                <w:sz w:val="15"/>
              </w:rPr>
              <w:t>Approval status</w:t>
            </w:r>
          </w:p>
        </w:tc>
      </w:tr>
      <w:tr>
        <w:tc>
          <w:tcPr>
            <w:tcW w:type="dxa" w:w="2466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sz w:val="15"/>
              </w:rPr>
              <w:t>2.0 / 2026-07-12</w:t>
            </w:r>
          </w:p>
        </w:tc>
        <w:tc>
          <w:tcPr>
            <w:tcW w:type="dxa" w:w="2466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sz w:val="15"/>
              </w:rPr>
              <w:t>Singapore legal, privacy, security and document-control refresh.</w:t>
            </w:r>
          </w:p>
        </w:tc>
        <w:tc>
          <w:tcPr>
            <w:tcW w:type="dxa" w:w="2466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sz w:val="15"/>
              </w:rPr>
              <w:t>Data Chord Pte. Ltd.</w:t>
            </w:r>
          </w:p>
        </w:tc>
        <w:tc>
          <w:tcPr>
            <w:tcW w:type="dxa" w:w="2466"/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r>
              <w:rPr>
                <w:sz w:val="15"/>
              </w:rPr>
              <w:t>Pending required approval and legal review</w:t>
            </w:r>
          </w:p>
        </w:tc>
      </w:tr>
    </w:tbl>
    <w:p>
      <w:pPr>
        <w:pStyle w:val="PolicyNote"/>
        <w:spacing w:before="100" w:after="0"/>
      </w:pPr>
      <w:r>
        <w:t>Controlled copy: the current LMS-published version. Printed or forwarded copies are uncontrolled. A material change creates a new version; earlier versions and acceptance evidence are preserved.</w:t>
      </w:r>
    </w:p>
    <w:p>
      <w:r>
        <w:br w:type="page"/>
      </w:r>
    </w:p>
    <w:p>
      <w:pPr>
        <w:pStyle w:val="Heading1"/>
      </w:pPr>
      <w:r>
        <w:t>Purpose and scope</w:t>
      </w:r>
    </w:p>
    <w:p>
      <w:pPr>
        <w:keepLines w:val="0"/>
      </w:pPr>
      <w:r>
        <w:t>Point-of-use notice and explicit consent terms for facial images and identity verification.</w:t>
      </w:r>
    </w:p>
    <w:p>
      <w:pPr>
        <w:keepLines w:val="0"/>
      </w:pPr>
      <w:r>
        <w:t>This document applies to Screen LMS application operations, relevant Azure services, authorised users, administrators, service providers and records within its stated audience.</w:t>
      </w:r>
    </w:p>
    <w:p>
      <w:pPr>
        <w:pStyle w:val="Heading1"/>
      </w:pPr>
      <w:r>
        <w:t>Governance principles</w:t>
      </w:r>
    </w:p>
    <w:p>
      <w:pPr>
        <w:pStyle w:val="ListBullet"/>
        <w:keepLines/>
      </w:pPr>
      <w:r>
        <w:t>Apply Singapore law, contractual commitments and approved organisational policy using documented, risk-based decisions.</w:t>
      </w:r>
    </w:p>
    <w:p>
      <w:pPr>
        <w:pStyle w:val="ListBullet"/>
        <w:keepLines/>
      </w:pPr>
      <w:r>
        <w:t>Use data minimisation, least privilege, separation of duties and secure defaults.</w:t>
      </w:r>
    </w:p>
    <w:p>
      <w:pPr>
        <w:pStyle w:val="ListBullet"/>
        <w:keepLines/>
      </w:pPr>
      <w:r>
        <w:t>Preserve evidence sufficient to demonstrate what was decided, implemented, tested and reviewed.</w:t>
      </w:r>
    </w:p>
    <w:p>
      <w:pPr>
        <w:pStyle w:val="ListBullet"/>
        <w:keepLines/>
      </w:pPr>
      <w:r>
        <w:t>Escalate uncertainty; do not treat this operational draft as legal advice or certification evidence by itself.</w:t>
      </w:r>
    </w:p>
    <w:p>
      <w:pPr>
        <w:pStyle w:val="Heading1"/>
      </w:pPr>
      <w:r>
        <w:t>Roles and responsibilities</w:t>
      </w:r>
    </w:p>
    <w:p>
      <w:pPr>
        <w:pStyle w:val="ListBullet"/>
        <w:keepLines/>
      </w:pPr>
      <w:r>
        <w:t>The document owner maintains this controlled version, monitors changes and initiates review after a material legal, technical, supplier or business change.</w:t>
      </w:r>
    </w:p>
    <w:p>
      <w:pPr>
        <w:pStyle w:val="ListBullet"/>
        <w:keepLines/>
      </w:pPr>
      <w:r>
        <w:t>Managers assign accountable control owners, approve resources and review significant exceptions, risks, incidents and overdue actions.</w:t>
      </w:r>
    </w:p>
    <w:p>
      <w:pPr>
        <w:pStyle w:val="ListBullet"/>
        <w:keepLines/>
      </w:pPr>
      <w:r>
        <w:t>Users and authorised suppliers follow the policy, complete required training, protect credentials and report suspected incidents or nonconformities promptly.</w:t>
      </w:r>
    </w:p>
    <w:p>
      <w:pPr>
        <w:pStyle w:val="ListBullet"/>
        <w:keepLines/>
      </w:pPr>
      <w:r>
        <w:t>The Data Protection Officer reviews personal-data implications and the security owner reviews confidentiality, integrity and availability implications.</w:t>
      </w:r>
    </w:p>
    <w:p>
      <w:pPr>
        <w:pStyle w:val="Heading1"/>
      </w:pPr>
      <w:r>
        <w:t>Point-of-use consent</w:t>
      </w:r>
    </w:p>
    <w:p>
      <w:pPr>
        <w:keepLines w:val="0"/>
      </w:pPr>
      <w:r>
        <w:t>This notice is presented immediately before the enabled workflow captures or uploads a facial reference photo. General acceptance of the privacy notice is not treated as biometric consent.</w:t>
      </w:r>
    </w:p>
    <w:p>
      <w:pPr>
        <w:pStyle w:val="ListBullet"/>
        <w:keepLines/>
      </w:pPr>
      <w:r>
        <w:t>State the purpose, data captured, method, recipients, retention and consequences of declining.</w:t>
      </w:r>
    </w:p>
    <w:p>
      <w:pPr>
        <w:pStyle w:val="ListBullet"/>
        <w:keepLines/>
      </w:pPr>
      <w:r>
        <w:t>Do not activate the camera or accept a photo until the explicit consent control is selected.</w:t>
      </w:r>
    </w:p>
    <w:p>
      <w:pPr>
        <w:pStyle w:val="ListBullet"/>
        <w:keepLines/>
      </w:pPr>
      <w:r>
        <w:t>Record the exact policy version, timestamp, user, source, IP address and policy digest.</w:t>
      </w:r>
    </w:p>
    <w:p>
      <w:pPr>
        <w:pStyle w:val="ListBullet"/>
        <w:keepLines/>
      </w:pPr>
      <w:r>
        <w:t>Provide a withdrawal route and explain that withdrawal does not require deletion where a lawful retention obligation applies.</w:t>
      </w:r>
    </w:p>
    <w:p>
      <w:pPr>
        <w:pStyle w:val="Heading1"/>
      </w:pPr>
      <w:r>
        <w:t>Prohibited use</w:t>
      </w:r>
    </w:p>
    <w:p>
      <w:pPr>
        <w:pStyle w:val="ListBullet"/>
        <w:keepLines/>
      </w:pPr>
      <w:r>
        <w:t>Do not use facial information for unrelated marketing, emotion inference or general surveillance.</w:t>
      </w:r>
    </w:p>
    <w:p>
      <w:pPr>
        <w:pStyle w:val="ListBullet"/>
        <w:keepLines/>
      </w:pPr>
      <w:r>
        <w:t>Do not disclose the reference image to another learner or unauthorised staff member.</w:t>
      </w:r>
    </w:p>
    <w:p>
      <w:pPr>
        <w:pStyle w:val="ListBullet"/>
        <w:keepLines/>
      </w:pPr>
      <w:r>
        <w:t>Do not rely on a face-match score as the sole basis for a high-impact adverse decision without authorised human review.</w:t>
      </w:r>
    </w:p>
    <w:p>
      <w:pPr>
        <w:pStyle w:val="Heading1"/>
      </w:pPr>
      <w:r>
        <w:t>Records and evidence</w:t>
      </w:r>
    </w:p>
    <w:p>
      <w:pPr>
        <w:pStyle w:val="ListBullet"/>
        <w:keepLines/>
      </w:pPr>
      <w:r>
        <w:t>Keep the approved version, superseded versions, approval record, publication record, acceptance evidence where required, training evidence, exceptions and review decisions.</w:t>
      </w:r>
    </w:p>
    <w:p>
      <w:pPr>
        <w:pStyle w:val="ListBullet"/>
        <w:keepLines/>
      </w:pPr>
      <w:r>
        <w:t>Apply role and tenant access restrictions, protect evidence from unauthorised change, and use the approved retention and secure-disposal schedule.</w:t>
      </w:r>
    </w:p>
    <w:p>
      <w:pPr>
        <w:pStyle w:val="ListBullet"/>
        <w:keepLines/>
      </w:pPr>
      <w:r>
        <w:t>Do not place secrets, passwords, access tokens or unnecessary personal data in governance evidence or issue trackers.</w:t>
      </w:r>
    </w:p>
    <w:p>
      <w:pPr>
        <w:pStyle w:val="Heading1"/>
      </w:pPr>
      <w:r>
        <w:t>Monitoring, exceptions and review</w:t>
      </w:r>
    </w:p>
    <w:p>
      <w:pPr>
        <w:keepLines w:val="0"/>
      </w:pPr>
      <w:r>
        <w:t>The owner reviews the policy at least by the scheduled date and after a material incident, audit finding, law change, supplier change, architecture change or significant processing change.</w:t>
      </w:r>
    </w:p>
    <w:p>
      <w:pPr>
        <w:pStyle w:val="ListBullet"/>
        <w:keepLines/>
      </w:pPr>
      <w:r>
        <w:t>Record each exception with business justification, affected assets or data, risk, compensating controls, approver, owner, expiry and review date.</w:t>
      </w:r>
    </w:p>
    <w:p>
      <w:pPr>
        <w:pStyle w:val="ListBullet"/>
        <w:keepLines/>
      </w:pPr>
      <w:r>
        <w:t>Track findings and overdue actions through the corrective-action process and verify effectiveness before closure.</w:t>
      </w:r>
    </w:p>
    <w:p>
      <w:pPr>
        <w:pStyle w:val="ListBullet"/>
        <w:keepLines/>
      </w:pPr>
      <w:r>
        <w:t>A material change creates a new controlled version. Where the policy is an access condition, the LMS presents the new version for renewed acceptance while preserving earlier evidence.</w:t>
      </w:r>
    </w:p>
    <w:p>
      <w:pPr>
        <w:pStyle w:val="Heading1"/>
      </w:pPr>
      <w:r>
        <w:t>Official sources and external references</w:t>
      </w:r>
    </w:p>
    <w:p>
      <w:r>
        <w:t>Sources were checked during the 12 July 2026 policy refresh. The document owner must verify the current official version during every review. A source citation does not mean the issuing body has approved Screen LMS or this document.</w:t>
      </w:r>
    </w:p>
    <w:p>
      <w:pPr>
        <w:pStyle w:val="ListBullet"/>
      </w:pPr>
      <w:r>
        <w:rPr>
          <w:b/>
        </w:rPr>
        <w:t>Attorney-General's Chambers, Singapore: Personal Data Protection Act 2012 (Singapore Statutes Online)</w:t>
      </w:r>
      <w:r>
        <w:t xml:space="preserve"> — https://sso.agc.gov.sg/Act/PDPA2012</w:t>
      </w:r>
    </w:p>
    <w:p>
      <w:pPr>
        <w:pStyle w:val="ListBullet"/>
      </w:pPr>
      <w:r>
        <w:rPr>
          <w:b/>
        </w:rPr>
        <w:t>Personal Data Protection Commission: Guide on the Responsible Use of Biometric Data in Security Applications</w:t>
      </w:r>
      <w:r>
        <w:t xml:space="preserve"> — https://www.pdpc.gov.sg/organisations/resources/guidance-by-topic/guide-on-the-responsible-use-of-biometric-data-in-security-applications</w:t>
      </w:r>
    </w:p>
    <w:p>
      <w:pPr>
        <w:pStyle w:val="ListBullet"/>
      </w:pPr>
      <w:r>
        <w:rPr>
          <w:b/>
        </w:rPr>
        <w:t>Personal Data Protection Commission: Advisory Guidelines on the PDPA for Children's Personal Data in the Digital Environment</w:t>
      </w:r>
      <w:r>
        <w:t xml:space="preserve"> — https://www.pdpc.gov.sg/organisations/regulations-decisions/regulatory-guidance/advisory-guidelines-on-the-pdpa-for-childrens-personal-data-in-the-digital-environment</w:t>
      </w:r>
    </w:p>
    <w:p>
      <w:r>
        <w:br w:type="page"/>
      </w:r>
    </w:p>
    <w:p>
      <w:pPr>
        <w:pStyle w:val="Heading1"/>
      </w:pPr>
      <w:r>
        <w:t>Approval and review record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cantSplit/>
        </w:trPr>
        <w:tc>
          <w:tcPr>
            <w:tcW w:type="dxa" w:w="2466"/>
            <w:shd w:fill="17365D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466"/>
            <w:shd w:fill="17365D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466"/>
            <w:shd w:fill="17365D"/>
          </w:tcPr>
          <w:p>
            <w:r>
              <w:rPr>
                <w:b/>
                <w:color w:val="FFFFFF"/>
              </w:rPr>
              <w:t>Decision / date</w:t>
            </w:r>
          </w:p>
        </w:tc>
        <w:tc>
          <w:tcPr>
            <w:tcW w:type="dxa" w:w="2466"/>
            <w:shd w:fill="17365D"/>
          </w:tcPr>
          <w:p>
            <w:r>
              <w:rPr>
                <w:b/>
                <w:color w:val="FFFFFF"/>
              </w:rPr>
              <w:t>Notes</w:t>
            </w:r>
          </w:p>
        </w:tc>
      </w:tr>
      <w:tr>
        <w:trPr>
          <w:cantSplit/>
        </w:trPr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Document owner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To be completed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Pending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Required before representing this document as fully approved</w:t>
            </w:r>
          </w:p>
        </w:tc>
      </w:tr>
      <w:tr>
        <w:trPr>
          <w:cantSplit/>
        </w:trPr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Information security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To be completed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Pending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Required before representing this document as fully approved</w:t>
            </w:r>
          </w:p>
        </w:tc>
      </w:tr>
      <w:tr>
        <w:trPr>
          <w:cantSplit/>
        </w:trPr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Data Protection Officer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To be completed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Pending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Required before representing this document as fully approved</w:t>
            </w:r>
          </w:p>
        </w:tc>
      </w:tr>
      <w:tr>
        <w:trPr>
          <w:cantSplit/>
        </w:trPr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Singapore-qualified legal reviewer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To be completed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Pending</w:t>
            </w:r>
          </w:p>
        </w:tc>
        <w:tc>
          <w:tcPr>
            <w:tcW w:type="dxa" w:w="2466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Required before representing this document as fully approved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964" w:right="1020" w:bottom="907" w:left="1020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824"/>
      <w:gridCol w:w="2041"/>
    </w:tblGrid>
    <w:tr>
      <w:tc>
        <w:tcPr>
          <w:tcW w:type="dxa" w:w="4932"/>
        </w:tcPr>
        <w:p>
          <w:r>
            <w:rPr>
              <w:color w:val="64748B"/>
              <w:sz w:val="15"/>
            </w:rPr>
            <w:t>Data Chord Pte. Ltd. • Effective 2026-07-12 • Review 2027-07-12 • Uncontrolled when printed</w:t>
          </w:r>
        </w:p>
      </w:tc>
      <w:tc>
        <w:tcPr>
          <w:tcW w:type="dxa" w:w="4932"/>
        </w:tcPr>
        <w:p>
          <w:pPr>
            <w:jc w:val="right"/>
          </w:pPr>
          <w:r>
            <w:rPr>
              <w:sz w:val="16"/>
            </w:rPr>
            <w:t xml:space="preserve">Page </w:t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6520"/>
      <w:gridCol w:w="3345"/>
    </w:tblGrid>
    <w:tr>
      <w:tc>
        <w:tcPr>
          <w:tcW w:type="dxa" w:w="4932"/>
          <w:shd w:fill="17365D"/>
          <w:tcMar>
            <w:top w:w="55" w:type="dxa"/>
            <w:start w:w="100" w:type="dxa"/>
            <w:bottom w:w="55" w:type="dxa"/>
            <w:end w:w="100" w:type="dxa"/>
          </w:tcMar>
          <w:vAlign w:val="center"/>
        </w:tcPr>
        <w:p>
          <w:pPr>
            <w:jc w:val="left"/>
          </w:pPr>
          <w:r>
            <w:rPr>
              <w:b/>
              <w:color w:val="FFFFFF"/>
              <w:sz w:val="17"/>
            </w:rPr>
            <w:t>SCREEN LMS  |  CONTROLLED GOVERNANCE DOCUMENT</w:t>
          </w:r>
        </w:p>
      </w:tc>
      <w:tc>
        <w:tcPr>
          <w:tcW w:type="dxa" w:w="4932"/>
          <w:shd w:fill="245EA8"/>
          <w:tcMar>
            <w:top w:w="55" w:type="dxa"/>
            <w:start w:w="100" w:type="dxa"/>
            <w:bottom w:w="55" w:type="dxa"/>
            <w:end w:w="100" w:type="dxa"/>
          </w:tcMar>
          <w:vAlign w:val="center"/>
        </w:tcPr>
        <w:p>
          <w:pPr>
            <w:jc w:val="right"/>
          </w:pPr>
          <w:r>
            <w:rPr>
              <w:b/>
              <w:color w:val="FFFFFF"/>
              <w:sz w:val="17"/>
            </w:rPr>
            <w:t>BIO-001  •  v2.0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ptos" w:hAnsi="Aptos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17365D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ptos" w:hAnsi="Aptos"/>
      <w:b/>
      <w:bCs/>
      <w:color w:val="245E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80" w:after="8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40" w:line="240" w:lineRule="auto" w:before="0"/>
      <w:contextualSpacing/>
    </w:pPr>
    <w:rPr>
      <w:rFonts w:asciiTheme="majorHAnsi" w:eastAsiaTheme="majorEastAsia" w:hAnsiTheme="majorHAnsi" w:cstheme="majorBidi" w:ascii="Aptos Display" w:hAnsi="Aptos Display"/>
      <w:b/>
      <w:color w:val="17365D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olicyNote">
    <w:name w:val="Policy Note"/>
    <w:pPr>
      <w:spacing w:after="80"/>
      <w:ind w:left="142" w:right="142"/>
    </w:pPr>
    <w:rPr>
      <w:rFonts w:ascii="Aptos" w:hAnsi="Aptos"/>
      <w:color w:val="1F2937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